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Digit OS: руководство администратора компании</w:t>
      </w:r>
    </w:p>
    <w:p>
      <w:pPr>
        <w:pStyle w:val="Subtitle"/>
      </w:pPr>
      <w:r>
        <w:t>Сотрудники, баланс, лимиты и общая библиотека</w:t>
      </w:r>
    </w:p>
    <w:p>
      <w:r>
        <w:t>2026-10-04</w:t>
      </w:r>
    </w:p>
    <w:p>
      <w:r>
        <w:t>Администратор компании управляет рабочим доступом сотрудников и разрешёнными возможностями в пределах своей организации. Это руководство объясняет приглашения, лимиты, модели и инструменты, библиотеку и проверку расхода. Подтверждение полученной оплаты, финансовые исправления и общая аналитика сервиса остаются действиями оператора Digit OS.</w:t>
      </w:r>
    </w:p>
    <w:p>
      <w:pPr>
        <w:pStyle w:val="Heading1"/>
      </w:pPr>
      <w:r>
        <w:t>Проверить доступ к кабинету организации</w:t>
      </w:r>
    </w:p>
    <w:p>
      <w:pPr>
        <w:ind w:left="340" w:hanging="340"/>
      </w:pPr>
      <w:r>
        <w:t>1. Войдите в рабочий аккаунт с ролью администратора компании.</w:t>
      </w:r>
    </w:p>
    <w:p>
      <w:pPr>
        <w:ind w:left="340" w:hanging="340"/>
      </w:pPr>
      <w:r>
        <w:t>2. Откройте меню аккаунта и перейдите в кабинет организации. Проверьте, что указана нужная организация.</w:t>
      </w:r>
    </w:p>
    <w:p>
      <w:pPr>
        <w:ind w:left="340" w:hanging="340"/>
      </w:pPr>
      <w:r>
        <w:t>3. Посмотрите состояние компании, режим учёта и доступный баланс до приглашения сотрудников.</w:t>
      </w:r>
    </w:p>
    <w:p>
      <w:pPr>
        <w:ind w:left="340" w:hanging="340"/>
      </w:pPr>
      <w:r>
        <w:t>4. Если вход закрыт или раздел отсутствует, обратитесь к назначившему роль администратору либо в поддержку. Обычный сотрудник не получает административные права через ссылку на кабинет.</w:t>
      </w:r>
    </w:p>
    <w:p>
      <w:r>
        <w:t>Кабинет показывает только вашу организацию. Не передавайте свой аккаунт для совместного администрирования: назначьте отдельному действующему сотруднику роль администратора. Утрата роли или блокировка прекращает доступ к административным действиям.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1429342"/>
            <wp:docPr id="1" name="Picture 1" descr="Проверить доступ к кабинету организаци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overvie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29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Проверить доступ к кабинету организации</w:t>
      </w:r>
    </w:p>
    <w:p>
      <w:pPr>
        <w:pStyle w:val="Heading1"/>
      </w:pPr>
      <w:r>
        <w:t>Пригласить сотрудника</w:t>
      </w:r>
    </w:p>
    <w:p>
      <w:pPr>
        <w:ind w:left="340" w:hanging="340"/>
      </w:pPr>
      <w:r>
        <w:t>1. Откройте раздел сотрудников или приглашений и введите рабочий адрес сотрудника.</w:t>
      </w:r>
    </w:p>
    <w:p>
      <w:pPr>
        <w:ind w:left="340" w:hanging="340"/>
      </w:pPr>
      <w:r>
        <w:t>2. Проверьте адрес перед отправкой. Приглашение предназначено конкретному получателю.</w:t>
      </w:r>
    </w:p>
    <w:p>
      <w:pPr>
        <w:ind w:left="340" w:hanging="340"/>
      </w:pPr>
      <w:r>
        <w:t>3. Отправьте приглашение и посмотрите его состояние в списке.</w:t>
      </w:r>
    </w:p>
    <w:p>
      <w:pPr>
        <w:ind w:left="340" w:hanging="340"/>
      </w:pPr>
      <w:r>
        <w:t>4. Попросите сотрудника открыть письмо, принять условия для сотрудников и закончить регистрацию.</w:t>
      </w:r>
    </w:p>
    <w:p>
      <w:pPr>
        <w:ind w:left="340" w:hanging="340"/>
      </w:pPr>
      <w:r>
        <w:t>5. После присоединения проверьте роль, доступ и назначенный лимит либо выдачу нейронов.</w:t>
      </w:r>
    </w:p>
    <w:p>
      <w:r>
        <w:t>Если письмо не пришло, сотрудник сначала проверяет папку нежелательной почты и правильность адреса. При необходимости повторно отправьте приглашение. Истёкшее или отозванное приглашение нужно заменить. Не пересылайте одно приглашение нескольким людям.</w:t>
      </w:r>
    </w:p>
    <w:p>
      <w:r>
        <w:t>Сотрудник принимает опубликованную редакцию условий и согласий. Если документы изменились до завершения регистрации, он должен прочитать актуальную редакцию и подтвердить её; старое согласие не подменяется новой датой задним числом.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2372608"/>
            <wp:docPr id="2" name="Picture 2" descr="Пригласить сотрудник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invitat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72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Пригласить сотрудника</w:t>
      </w:r>
    </w:p>
    <w:p>
      <w:pPr>
        <w:pStyle w:val="Heading1"/>
      </w:pPr>
      <w:r>
        <w:t>Выбрать подходящий режим учёта</w:t>
      </w:r>
    </w:p>
    <w:p>
      <w:r>
        <w:t>В режиме общего кошелька запросы оплачиваются из баланса организации. Персональный лимит ограничивает расход сотрудника, но не является отдельным пополнением или выдачей денег. Доступный остаток сотрудника зависит одновременно от лимита, общего баланса и уже занятых средств.</w:t>
      </w:r>
    </w:p>
    <w:p>
      <w:r>
        <w:t>В режиме выдачи сотрудникам назначаются отдельные остатки нейронов. Неиспользованные нейроны по месячному правилу возвращаются организации, затем производится новая выдача. Следите, чтобы у компании хватало средств на запланированную выдачу.</w:t>
      </w:r>
    </w:p>
    <w:p>
      <w:r>
        <w:t>Смена режима учёта влияет на бухгалтерские записи и выполняется установленной процедурой. Не пытайтесь имитировать её ручным изменением остатков. Для перехода обратитесь к оператору сервиса.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1429342"/>
            <wp:docPr id="3" name="Picture 3" descr="Выбрать подходящий режим учёт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overvie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29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Выбрать подходящий режим учёта</w:t>
      </w:r>
    </w:p>
    <w:p>
      <w:pPr>
        <w:pStyle w:val="Heading1"/>
      </w:pPr>
      <w:r>
        <w:t>Назначить лимиты и управлять расходом</w:t>
      </w:r>
    </w:p>
    <w:p>
      <w:pPr>
        <w:ind w:left="340" w:hanging="340"/>
      </w:pPr>
      <w:r>
        <w:t>1. Откройте настройки общего лимита или карточку конкретного сотрудника.</w:t>
      </w:r>
    </w:p>
    <w:p>
      <w:pPr>
        <w:ind w:left="340" w:hanging="340"/>
      </w:pPr>
      <w:r>
        <w:t>2. Выберите требуемый вариант: наследование правила компании, собственное ограничение либо доступный в кабинете режим без индивидуального ограничения.</w:t>
      </w:r>
    </w:p>
    <w:p>
      <w:pPr>
        <w:ind w:left="340" w:hanging="340"/>
      </w:pPr>
      <w:r>
        <w:t>3. Проверьте сумму и сохраните изменение. Если другой администратор успел изменить правило, обновите страницу и согласуйте итоговое значение.</w:t>
      </w:r>
    </w:p>
    <w:p>
      <w:pPr>
        <w:ind w:left="340" w:hanging="340"/>
      </w:pPr>
      <w:r>
        <w:t>4. Проверьте доступную сотруднику сумму и уже учтённый расход. Для срочной остановки используйте предусмотренную паузу расхода или блокировку доступа.</w:t>
      </w:r>
    </w:p>
    <w:p>
      <w:r>
        <w:t>Пополнение компании не обнуляет месячные лимиты сотрудников. Обнуление счётчика «использовано» после пополнения — только начало нового периода отображения; лимит и резерв оплачиваемой операции продолжают действовать отдельно.</w:t>
      </w:r>
    </w:p>
    <w:p>
      <w:r>
        <w:t>Если запрос уже был принят, его итоговая стоимость может уточниться позднее. Пауза или уменьшение лимита не отменяет оплату уже выполненной работы. При спорной сумме запросите проверку у поддержки, не исправляйте остаток по предположению.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1429342"/>
            <wp:docPr id="4" name="Picture 4" descr="Назначить лимиты и управлять расходо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overvie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29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Назначить лимиты и управлять расходом</w:t>
      </w:r>
    </w:p>
    <w:p>
      <w:pPr>
        <w:pStyle w:val="Heading1"/>
      </w:pPr>
      <w:r>
        <w:t>Настроить модели и инструменты</w:t>
      </w:r>
    </w:p>
    <w:p>
      <w:pPr>
        <w:ind w:left="340" w:hanging="340"/>
      </w:pPr>
      <w:r>
        <w:t>1. Откройте настройки доступных моделей и инструментов организации.</w:t>
      </w:r>
    </w:p>
    <w:p>
      <w:pPr>
        <w:ind w:left="340" w:hanging="340"/>
      </w:pPr>
      <w:r>
        <w:t>2. Выберите наследование общих возможностей сервиса либо собственный список разрешений.</w:t>
      </w:r>
    </w:p>
    <w:p>
      <w:pPr>
        <w:ind w:left="340" w:hanging="340"/>
      </w:pPr>
      <w:r>
        <w:t>3. Отметьте модели, соответствующие задачам сотрудников, и нужные инструменты. Длинный список прокручивается внутри своего блока.</w:t>
      </w:r>
    </w:p>
    <w:p>
      <w:pPr>
        <w:ind w:left="340" w:hanging="340"/>
      </w:pPr>
      <w:r>
        <w:t>4. Перед сохранением проверьте пустые списки: явный пустой список означает запрет, а не наследование.</w:t>
      </w:r>
    </w:p>
    <w:p>
      <w:pPr>
        <w:ind w:left="340" w:hanging="340"/>
      </w:pPr>
      <w:r>
        <w:t>5. Сохраните и сообщите сотрудникам, какие изменения повлияют на их работу.</w:t>
      </w:r>
    </w:p>
    <w:p>
      <w:r>
        <w:t>Компания не может включить модель или инструмент, недоступные на уровне сервиса. Ограничения действуют и для сохранённых ассистентов, и для прямых запросов. Если ранее выбранная модель исключена, сотруднику нужно выбрать другую.</w:t>
      </w:r>
    </w:p>
    <w:p>
      <w:r>
        <w:t>Включение облачного инструмента не подключает чужие диски автоматически. Каждый сотрудник использует собственное разрешённое подключение. Если отделу нужен общий рабочий источник, сначала предоставьте сотрудникам права в самом облаке.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652568" cy="4320000"/>
            <wp:docPr id="5" name="Picture 5" descr="Настроить модели и инструмент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polic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2568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Настроить модели и инструменты</w:t>
      </w:r>
    </w:p>
    <w:p>
      <w:pPr>
        <w:pStyle w:val="Heading1"/>
      </w:pPr>
      <w:r>
        <w:t>Проверять расход и пополнения</w:t>
      </w:r>
    </w:p>
    <w:p>
      <w:pPr>
        <w:ind w:left="340" w:hanging="340"/>
      </w:pPr>
      <w:r>
        <w:t>1. Откройте отчёт или журнал организации и выберите нужный период.</w:t>
      </w:r>
    </w:p>
    <w:p>
      <w:pPr>
        <w:ind w:left="340" w:hanging="340"/>
      </w:pPr>
      <w:r>
        <w:t>2. Проверьте общий расход, сотрудников и модели. Сопоставьте период отчёта с датами обсуждаемой задачи.</w:t>
      </w:r>
    </w:p>
    <w:p>
      <w:pPr>
        <w:ind w:left="340" w:hanging="340"/>
      </w:pPr>
      <w:r>
        <w:t>3. При пополнении проверьте, что средства отражены на балансе организации.</w:t>
      </w:r>
    </w:p>
    <w:p>
      <w:pPr>
        <w:ind w:left="340" w:hanging="340"/>
      </w:pPr>
      <w:r>
        <w:t>4. Если данные расходятся с ожидаемыми, сообщите поддержке период и конкретную операцию. Сохраните исходные сведения до выяснения причины.</w:t>
      </w:r>
    </w:p>
    <w:p>
      <w:r>
        <w:t>В чате сотрудника счётчик показывает его расход с последнего пополнения и доступный остаток. В общем кошельке это не означает, что сотрудник владеет всем остатком компании: действуют персональные ограничения.</w:t>
      </w:r>
    </w:p>
    <w:p>
      <w:r>
        <w:t>Запись полученной оплаты создаёт оператор Digit OS. Она одновременно фиксирует платёж и начисляет нейроны. Бонус — другое событие: он не является доходом сервиса. Возврат расхода связан с исходным списанием, а отмена ошибочного платежа сохраняет его первоначальную запись.</w:t>
      </w:r>
    </w:p>
    <w:p>
      <w:r>
        <w:t>Денежные суммы согласуются в белорусских рублях. Округление цены вверх до целого рубля в интерфейсе не округляет фактические списания нейронов.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2355394"/>
            <wp:docPr id="6" name="Picture 6" descr="Проверять расход и пополнени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us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553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Проверять расход и пополнения</w:t>
      </w:r>
    </w:p>
    <w:p>
      <w:pPr>
        <w:pStyle w:val="Heading1"/>
      </w:pPr>
      <w:r>
        <w:t>Организовать библиотеку компании</w:t>
      </w:r>
    </w:p>
    <w:p>
      <w:r>
        <w:t>Библиотека содержит корпоративные копии ассистентов и промптов. Сотрудник публикует собственный ресурс, а личный оригинал сохраняется отдельно. В библиотеку не переносятся личная память, история чатов и облачные разрешения автора.</w:t>
      </w:r>
    </w:p>
    <w:p>
      <w:r>
        <w:t>Нового личного текстового ассистента можно создать прямо в окне библиотеки: «Создать личного ассистента» → заполнить «Название», «Инструкции ассистента» и «Модель» → «Сохранить личного ассистента». Он сохраняется приватно, без инструментов; генерация и списание нейронов не запускаются. Затем нужно проверить выбранный «Личный ресурс» и отдельно нажать «Опубликовать копию», оставив просмотр по умолчанию.</w:t>
      </w:r>
    </w:p>
    <w:p>
      <w:pPr>
        <w:ind w:left="340" w:hanging="340"/>
      </w:pPr>
      <w:r>
        <w:t>1. Откройте «Библиотеку компании» из меню аккаунта.</w:t>
      </w:r>
    </w:p>
    <w:p>
      <w:pPr>
        <w:ind w:left="340" w:hanging="340"/>
      </w:pPr>
      <w:r>
        <w:t>2. Проверьте назначение опубликованного ресурса, его инструкции и выбранные права.</w:t>
      </w:r>
    </w:p>
    <w:p>
      <w:pPr>
        <w:ind w:left="340" w:hanging="340"/>
      </w:pPr>
      <w:r>
        <w:t>3. Для устойчивой рабочей инструкции используйте просмотр. Редактирование включайте, если коллегам действительно нужно совместно менять содержимое.</w:t>
      </w:r>
    </w:p>
    <w:p>
      <w:pPr>
        <w:ind w:left="340" w:hanging="340"/>
      </w:pPr>
      <w:r>
        <w:t>4. Если публикация устарела или не должна использоваться, измените права либо отзовите её.</w:t>
      </w:r>
    </w:p>
    <w:p>
      <w:pPr>
        <w:ind w:left="340" w:hanging="340"/>
      </w:pPr>
      <w:r>
        <w:t>5. Сообщите коллегам, какую публикацию использовать вместо отозванной, если требуется замена.</w:t>
      </w:r>
    </w:p>
    <w:p>
      <w:r>
        <w:t>Редактор меняет содержимое, но не управляет правами. Автор публикации, пока он состоит в компании, и администратор компании могут управлять доступом. Административные права относятся к опубликованной копии и не открывают личные черновики автора.</w:t>
      </w:r>
    </w:p>
    <w:p>
      <w:r>
        <w:t>Ресурсы с личными файлами, действиями, навыками или связанными ассистентами могут потребовать отдельной версии без этих зависимостей. Система сообщит об отказе; не удаляйте зависимости из единственного личного оригинала ради публикации — сначала подготовьте отдельную копию.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1972000"/>
            <wp:docPr id="7" name="Picture 7" descr="Организовать библиотеку компани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libra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Организовать библиотеку компании</w:t>
      </w:r>
    </w:p>
    <w:p>
      <w:pPr>
        <w:pStyle w:val="Heading1"/>
      </w:pPr>
      <w:r>
        <w:t>Редактировать общую инструкцию без потери изменений</w:t>
      </w:r>
    </w:p>
    <w:p>
      <w:pPr>
        <w:ind w:left="340" w:hanging="340"/>
      </w:pPr>
      <w:r>
        <w:t>1. Откройте актуальную публикацию и прочитайте её содержимое.</w:t>
      </w:r>
    </w:p>
    <w:p>
      <w:pPr>
        <w:ind w:left="340" w:hanging="340"/>
      </w:pPr>
      <w:r>
        <w:t>2. Измените название и инструкцию либо текст промпта. Не включайте пароли и секретные ключи в текст.</w:t>
      </w:r>
    </w:p>
    <w:p>
      <w:pPr>
        <w:ind w:left="340" w:hanging="340"/>
      </w:pPr>
      <w:r>
        <w:t>3. Сохраните изменения. Если появилось сообщение, что ресурс изменён другим человеком, обновите публикацию и сопоставьте версии.</w:t>
      </w:r>
    </w:p>
    <w:p>
      <w:pPr>
        <w:ind w:left="340" w:hanging="340"/>
      </w:pPr>
      <w:r>
        <w:t>4. Проверьте изменённый ресурс в допустимой для вашей организации тестовой задаче. Такой запуск расходует нейроны по обычным правилам.</w:t>
      </w:r>
    </w:p>
    <w:p>
      <w:r>
        <w:t>Редактирование корпоративной копии не обновляет личный оригинал автоматически. Отзыв публикации также не удаляет уже созданные личные копии. Поэтому не публикуйте сведения, которые нельзя передавать коллегам.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1972000"/>
            <wp:docPr id="8" name="Picture 8" descr="Редактировать общую инструкцию без потери изменени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libra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Редактировать общую инструкцию без потери изменений</w:t>
      </w:r>
    </w:p>
    <w:p>
      <w:pPr>
        <w:pStyle w:val="Heading1"/>
      </w:pPr>
      <w:r>
        <w:t>Закрыть доступ уходящему сотруднику</w:t>
      </w:r>
    </w:p>
    <w:p>
      <w:pPr>
        <w:ind w:left="340" w:hanging="340"/>
      </w:pPr>
      <w:r>
        <w:t>1. Перед кадровым изменением проверьте рабочие процессы, которые используют опубликованные сотрудником ресурсы.</w:t>
      </w:r>
    </w:p>
    <w:p>
      <w:pPr>
        <w:ind w:left="340" w:hanging="340"/>
      </w:pPr>
      <w:r>
        <w:t>2. Откройте карточку сотрудника и заблокируйте доступ по правилам организации.</w:t>
      </w:r>
    </w:p>
    <w:p>
      <w:pPr>
        <w:ind w:left="340" w:hanging="340"/>
      </w:pPr>
      <w:r>
        <w:t>3. Убедитесь, что состояние изменилось. Заблокированный сотрудник не должен продолжать пользоваться сервисом.</w:t>
      </w:r>
    </w:p>
    <w:p>
      <w:pPr>
        <w:ind w:left="340" w:hanging="340"/>
      </w:pPr>
      <w:r>
        <w:t>4. Передайте коллегам корпоративные публикации и рабочие инструкции. Копии библиотеки остаются у организации после удаления автора.</w:t>
      </w:r>
    </w:p>
    <w:p>
      <w:r>
        <w:t>Учётная запись блокируется сразу; удаление вместе с личными диалогами и файлами предусмотрено через 30 дней. Техническое завершение удаления может требовать повторной обработки, если зависимый сервис временно недоступен. Не трактуйте это как предоставление администратору доступа к личной переписке.</w:t>
      </w:r>
    </w:p>
    <w:p>
      <w:r>
        <w:t>Финансовые события и ещё не завершённые расчёты учитываются отдельно. Уход сотрудника не должен удалять сведения, необходимые для сверки расхода, или превращать корпоративный возврат в пополнение другого личного аккаунта.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120000" cy="2100978"/>
            <wp:docPr id="9" name="Picture 9" descr="Закрыть доступ уходящему сотрудник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ny-member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1009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Закрыть доступ уходящему сотруднику</w:t>
      </w:r>
    </w:p>
    <w:p>
      <w:pPr>
        <w:pStyle w:val="Heading1"/>
      </w:pPr>
      <w:r>
        <w:t>Разобрать типовые проблемы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520"/>
      </w:tblGrid>
      <w:tr>
        <w:trPr>
          <w:tblHeader/>
          <w:cantSplit/>
        </w:trPr>
        <w:tc>
          <w:tcPr>
            <w:tcW w:type="dxa" w:w="3118"/>
            <w:shd w:fill="F2F2F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keepNext/>
            </w:pPr>
            <w:r>
              <w:rPr>
                <w:b/>
              </w:rPr>
              <w:t>Ситуация</w:t>
            </w:r>
          </w:p>
        </w:tc>
        <w:tc>
          <w:tcPr>
            <w:tcW w:type="dxa" w:w="6520"/>
            <w:shd w:fill="F2F2F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keepNext/>
            </w:pPr>
            <w:r>
              <w:rPr>
                <w:b/>
              </w:rPr>
              <w:t>Что проверить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Приглашение не работает</w:t>
            </w:r>
          </w:p>
        </w:tc>
        <w:tc>
          <w:tcPr>
            <w:tcW w:type="dxa" w:w="6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Адрес получателя, срок и состояние приглашения. При необходимости отправьте новое.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Баланс компании есть, но запрос запрещён</w:t>
            </w:r>
          </w:p>
        </w:tc>
        <w:tc>
          <w:tcPr>
            <w:tcW w:type="dxa" w:w="6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Лимит сотрудника, зарезервированные средства, паузу расхода, состояние сотрудника и компании.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Модель пропала из списка</w:t>
            </w:r>
          </w:p>
        </w:tc>
        <w:tc>
          <w:tcPr>
            <w:tcW w:type="dxa" w:w="6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Разрешения компании и актуальную доступность модели в сервисе.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Инструмент включён, но облачный файл недоступен</w:t>
            </w:r>
          </w:p>
        </w:tc>
        <w:tc>
          <w:tcPr>
            <w:tcW w:type="dxa" w:w="6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Подключение самого сотрудника, права на файл и область доступа приложения в облаке.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Коллега не может изменить публикацию</w:t>
            </w:r>
          </w:p>
        </w:tc>
        <w:tc>
          <w:tcPr>
            <w:tcW w:type="dxa" w:w="6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Роль просмотра или редактирования, актуальное членство, не была ли публикация отозвана.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Не совпал ожидаемый расход</w:t>
            </w:r>
          </w:p>
        </w:tc>
        <w:tc>
          <w:tcPr>
            <w:tcW w:type="dxa" w:w="6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r>
              <w:t>Период отчёта, исходное списание, дополнительные операции и позднее уточнение стоимости. Передайте конкретику поддержке.</w:t>
            </w:r>
          </w:p>
        </w:tc>
      </w:tr>
    </w:tbl>
    <w:p>
      <w:pPr>
        <w:spacing w:after="40"/>
      </w:pPr>
    </w:p>
    <w:p>
      <w:r>
        <w:t>Не повторяйте финансовое исправление только потому, что ответ страницы не пришёл. Оператор должен проверить результат по сохранённому идентификатору операции. Повторная независимая оплата или бонус могут изменить баланс дважды.</w:t>
      </w:r>
    </w:p>
    <w:p>
      <w:pPr>
        <w:pStyle w:val="Heading1"/>
      </w:pPr>
      <w:r>
        <w:t>Связаться с оператором Digit OS</w:t>
      </w:r>
    </w:p>
    <w:p>
      <w:r>
        <w:t>Для пополнения, перехода режима учёта, сверки платежей и технической диагностики: Telegram @digit_os_support или support@digit-os.by. Укажите организацию, период и суть вопроса. Пароли, коды входа и ключи доступа отправлять не нужно.</w:t>
      </w:r>
    </w:p>
    <w:p>
      <w:r>
        <w:t>Состояние сервисов и общую аналитику Digit OS проверяет оператор. В его панели отдельно отображаются подтверждённые доходы, расход и известные затраты поставщиков. Неполные исторические данные не должны трактоваться как нулевые затраты или точная прибыль.</w:t>
      </w:r>
    </w:p>
    <w:p>
      <w:r>
        <w:t>Сотрудникам передайте руководство пользователя Digit OS и правила вашей организации о допустимых данных. Обновляйте внутреннюю инструкцию при изменении лимитов, разрешённых инструментов и порядка публикации ресурсов.</w:t>
      </w:r>
    </w:p>
    <w:p>
      <w:hyperlink r:id="rId16">
        <w:r>
          <w:t>Поддержка в Telegram</w:t>
        </w:r>
      </w:hyperlink>
      <w:r>
        <w:t xml:space="preserve"> · </w:t>
      </w:r>
      <w:hyperlink r:id="rId17">
        <w:r>
          <w:t>Почта поддержки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t xml:space="preserve">Digit OS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 w:eastAsia="DejaVu Sans" w:cs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DejaVu Sans" w:hAnsi="DejaVu Sans" w:eastAsia="DejaVu Sans" w:cs="DejaVu Sans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eastAsia="DejaVu Sans" w:cs="DejaVu San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 w:eastAsia="DejaVu Sans" w:cs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 w:eastAsia="DejaVu Sans" w:cs="DejaVu Sans"/>
      <w:b/>
      <w:bCs/>
      <w:color w:val="000000"/>
      <w:sz w:val="19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hyperlink" Target="https://t.me/digit_os_support" TargetMode="External"/><Relationship Id="rId17" Type="http://schemas.openxmlformats.org/officeDocument/2006/relationships/hyperlink" Target="mailto:support@digit-os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 OS: руководство администратора компании</dc:title>
  <dc:subject>Сотрудники, баланс, лимиты и общая библиотека</dc:subject>
  <dc:creator>Digit OS</dc:creator>
  <cp:keywords/>
  <dc:description>generated by python-docx</dc:description>
  <cp:lastModifiedBy>Digit OS</cp:lastModifiedBy>
  <cp:revision>1</cp:revision>
  <dcterms:created xsi:type="dcterms:W3CDTF">2013-12-23T23:15:00Z</dcterms:created>
  <dcterms:modified xsi:type="dcterms:W3CDTF">2013-12-23T23:15:00Z</dcterms:modified>
  <cp:category/>
</cp:coreProperties>
</file>